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B70CD" w14:textId="0C1717C1" w:rsidR="004A142A" w:rsidRPr="004A142A" w:rsidRDefault="00072E02" w:rsidP="004A142A">
      <w:pPr>
        <w:pStyle w:val="NoSpacing"/>
        <w:rPr>
          <w:sz w:val="24"/>
          <w:szCs w:val="24"/>
        </w:rPr>
      </w:pPr>
      <w:r>
        <w:rPr>
          <w:sz w:val="40"/>
          <w:szCs w:val="40"/>
        </w:rPr>
        <w:t>Short</w:t>
      </w:r>
      <w:r w:rsidR="004A142A" w:rsidRPr="004A142A">
        <w:rPr>
          <w:sz w:val="40"/>
          <w:szCs w:val="40"/>
        </w:rPr>
        <w:t xml:space="preserve"> template for</w:t>
      </w:r>
      <w:r w:rsidR="00D7568D" w:rsidRPr="004A142A">
        <w:rPr>
          <w:sz w:val="40"/>
          <w:szCs w:val="40"/>
        </w:rPr>
        <w:t xml:space="preserve"> the </w:t>
      </w:r>
      <w:r w:rsidR="00414564" w:rsidRPr="004A142A">
        <w:rPr>
          <w:sz w:val="40"/>
          <w:szCs w:val="40"/>
        </w:rPr>
        <w:t>Lobbying Act</w:t>
      </w:r>
      <w:r w:rsidR="004A142A" w:rsidRPr="004A142A">
        <w:rPr>
          <w:sz w:val="24"/>
          <w:szCs w:val="24"/>
        </w:rPr>
        <w:t xml:space="preserve"> </w:t>
      </w:r>
    </w:p>
    <w:p w14:paraId="4AD5D49F" w14:textId="31B34FBA" w:rsidR="00EC6D72" w:rsidRPr="004A142A" w:rsidRDefault="004A142A" w:rsidP="00414564">
      <w:pPr>
        <w:pStyle w:val="NoSpacing"/>
        <w:rPr>
          <w:sz w:val="40"/>
          <w:szCs w:val="40"/>
        </w:rPr>
      </w:pPr>
      <w:r w:rsidRPr="004A142A">
        <w:rPr>
          <w:sz w:val="40"/>
          <w:szCs w:val="40"/>
        </w:rPr>
        <w:t>Paper or letter to the Trustees or Directors</w:t>
      </w:r>
    </w:p>
    <w:p w14:paraId="136B04F7" w14:textId="0784DDCA" w:rsidR="00414564" w:rsidRDefault="00414564" w:rsidP="00414564">
      <w:pPr>
        <w:pStyle w:val="NoSpacing"/>
        <w:rPr>
          <w:sz w:val="24"/>
          <w:szCs w:val="24"/>
        </w:rPr>
      </w:pPr>
    </w:p>
    <w:p w14:paraId="0F3D405D" w14:textId="5C994A9F" w:rsidR="00D7568D" w:rsidRDefault="00D7568D" w:rsidP="00414564">
      <w:pPr>
        <w:pStyle w:val="NoSpacing"/>
        <w:rPr>
          <w:sz w:val="24"/>
          <w:szCs w:val="24"/>
        </w:rPr>
      </w:pPr>
      <w:r>
        <w:rPr>
          <w:sz w:val="24"/>
          <w:szCs w:val="24"/>
        </w:rPr>
        <w:t>Jessica Metheringham</w:t>
      </w:r>
    </w:p>
    <w:p w14:paraId="7FD097FD" w14:textId="71EBE3D2" w:rsidR="00D7568D" w:rsidRPr="00D7568D" w:rsidRDefault="00D7568D" w:rsidP="00414564">
      <w:pPr>
        <w:pStyle w:val="NoSpacing"/>
        <w:rPr>
          <w:i/>
          <w:iCs/>
          <w:sz w:val="24"/>
          <w:szCs w:val="24"/>
        </w:rPr>
      </w:pPr>
      <w:r w:rsidRPr="00D7568D">
        <w:rPr>
          <w:i/>
          <w:iCs/>
          <w:sz w:val="24"/>
          <w:szCs w:val="24"/>
        </w:rPr>
        <w:t>September 2019</w:t>
      </w:r>
    </w:p>
    <w:p w14:paraId="1A35F631" w14:textId="7F82FF18" w:rsidR="00D7568D" w:rsidRPr="00D7568D" w:rsidRDefault="00D7568D" w:rsidP="00414564">
      <w:pPr>
        <w:pStyle w:val="NoSpacing"/>
        <w:rPr>
          <w:i/>
          <w:iCs/>
          <w:color w:val="000000" w:themeColor="text1"/>
          <w:sz w:val="24"/>
          <w:szCs w:val="24"/>
        </w:rPr>
      </w:pPr>
      <w:r w:rsidRPr="00D7568D">
        <w:rPr>
          <w:i/>
          <w:iCs/>
          <w:color w:val="000000" w:themeColor="text1"/>
          <w:sz w:val="24"/>
          <w:szCs w:val="24"/>
        </w:rPr>
        <w:t xml:space="preserve">howtodissent@gmail.com | www.howtodissent.org </w:t>
      </w:r>
    </w:p>
    <w:p w14:paraId="6E6082BF" w14:textId="77777777" w:rsidR="00D7568D" w:rsidRDefault="00D7568D" w:rsidP="00414564">
      <w:pPr>
        <w:pStyle w:val="NoSpacing"/>
        <w:rPr>
          <w:sz w:val="24"/>
          <w:szCs w:val="24"/>
        </w:rPr>
      </w:pPr>
    </w:p>
    <w:p w14:paraId="1C44E65C" w14:textId="77777777" w:rsidR="00241477" w:rsidRDefault="00241477" w:rsidP="00241477">
      <w:pPr>
        <w:pStyle w:val="NoSpacing"/>
        <w:rPr>
          <w:sz w:val="24"/>
          <w:szCs w:val="24"/>
        </w:rPr>
      </w:pPr>
    </w:p>
    <w:p w14:paraId="1A460A13" w14:textId="77777777" w:rsidR="00241477" w:rsidRDefault="00241477" w:rsidP="00241477">
      <w:pPr>
        <w:pStyle w:val="NoSpacing"/>
        <w:rPr>
          <w:sz w:val="24"/>
          <w:szCs w:val="24"/>
          <w:lang w:val="en-US"/>
        </w:rPr>
      </w:pPr>
      <w:proofErr w:type="spellStart"/>
      <w:r w:rsidRPr="00D85C53">
        <w:rPr>
          <w:sz w:val="24"/>
          <w:szCs w:val="24"/>
          <w:lang w:val="en-US"/>
        </w:rPr>
        <w:t>Organisations</w:t>
      </w:r>
      <w:proofErr w:type="spellEnd"/>
      <w:r w:rsidRPr="00D85C53">
        <w:rPr>
          <w:sz w:val="24"/>
          <w:szCs w:val="24"/>
          <w:lang w:val="en-US"/>
        </w:rPr>
        <w:t xml:space="preserve"> </w:t>
      </w:r>
      <w:r>
        <w:rPr>
          <w:sz w:val="24"/>
          <w:szCs w:val="24"/>
          <w:lang w:val="en-US"/>
        </w:rPr>
        <w:t xml:space="preserve">and individuals </w:t>
      </w:r>
      <w:r w:rsidRPr="00D85C53">
        <w:rPr>
          <w:sz w:val="24"/>
          <w:szCs w:val="24"/>
          <w:lang w:val="en-US"/>
        </w:rPr>
        <w:t>which campaign and call for political change could potentially be covered by the Transparency of Lobbying, Non-Party Campaigning and Trade Union Administration Act 2014</w:t>
      </w:r>
      <w:r>
        <w:rPr>
          <w:sz w:val="24"/>
          <w:szCs w:val="24"/>
          <w:lang w:val="en-US"/>
        </w:rPr>
        <w:t xml:space="preserve"> (generally known as “the Lobbying Act”). Under the Lobbying Act, those carrying out such activities are </w:t>
      </w:r>
      <w:bookmarkStart w:id="0" w:name="_GoBack"/>
      <w:bookmarkEnd w:id="0"/>
      <w:r>
        <w:rPr>
          <w:sz w:val="24"/>
          <w:szCs w:val="24"/>
          <w:lang w:val="en-US"/>
        </w:rPr>
        <w:t xml:space="preserve">required to register expenditure with the Electoral Commission. </w:t>
      </w:r>
    </w:p>
    <w:p w14:paraId="0BFD4CA7" w14:textId="77777777" w:rsidR="00241477" w:rsidRDefault="00241477" w:rsidP="00241477">
      <w:pPr>
        <w:pStyle w:val="NoSpacing"/>
        <w:rPr>
          <w:sz w:val="24"/>
          <w:szCs w:val="24"/>
          <w:lang w:val="en-US"/>
        </w:rPr>
      </w:pPr>
    </w:p>
    <w:p w14:paraId="0C9AEF3B" w14:textId="498ADD78" w:rsidR="00CD34BA" w:rsidRPr="00241477" w:rsidRDefault="00241477" w:rsidP="00CD34BA">
      <w:pPr>
        <w:pStyle w:val="NoSpacing"/>
        <w:rPr>
          <w:sz w:val="24"/>
          <w:szCs w:val="24"/>
        </w:rPr>
      </w:pPr>
      <w:r>
        <w:rPr>
          <w:sz w:val="24"/>
          <w:szCs w:val="24"/>
        </w:rPr>
        <w:t xml:space="preserve">This paper sets out how we have made the judgement that we did not need to register as a </w:t>
      </w:r>
      <w:proofErr w:type="gramStart"/>
      <w:r>
        <w:rPr>
          <w:sz w:val="24"/>
          <w:szCs w:val="24"/>
        </w:rPr>
        <w:t>Third Party</w:t>
      </w:r>
      <w:proofErr w:type="gramEnd"/>
      <w:r>
        <w:rPr>
          <w:sz w:val="24"/>
          <w:szCs w:val="24"/>
        </w:rPr>
        <w:t xml:space="preserve"> Campaigner with the Electoral Commission. </w:t>
      </w:r>
      <w:r w:rsidR="00CD34BA" w:rsidRPr="00CD34BA">
        <w:rPr>
          <w:sz w:val="24"/>
          <w:szCs w:val="24"/>
          <w:lang w:val="en-US"/>
        </w:rPr>
        <w:t xml:space="preserve">We have carefully considered the campaigning work that we have undertaken during </w:t>
      </w:r>
      <w:r w:rsidR="00CD34BA">
        <w:rPr>
          <w:sz w:val="24"/>
          <w:szCs w:val="24"/>
          <w:lang w:val="en-US"/>
        </w:rPr>
        <w:t xml:space="preserve">all three of these periods. We </w:t>
      </w:r>
      <w:proofErr w:type="spellStart"/>
      <w:r w:rsidR="00CD34BA">
        <w:rPr>
          <w:sz w:val="24"/>
          <w:szCs w:val="24"/>
          <w:lang w:val="en-US"/>
        </w:rPr>
        <w:t>recognise</w:t>
      </w:r>
      <w:proofErr w:type="spellEnd"/>
      <w:r w:rsidR="00CD34BA">
        <w:rPr>
          <w:sz w:val="24"/>
          <w:szCs w:val="24"/>
          <w:lang w:val="en-US"/>
        </w:rPr>
        <w:t xml:space="preserve"> that the total regulated period is from</w:t>
      </w:r>
      <w:r w:rsidR="00CD34BA" w:rsidRPr="00CD34BA">
        <w:rPr>
          <w:sz w:val="24"/>
          <w:szCs w:val="24"/>
          <w:lang w:val="en-US"/>
        </w:rPr>
        <w:t xml:space="preserve"> </w:t>
      </w:r>
      <w:r w:rsidR="00CD34BA" w:rsidRPr="004C369C">
        <w:rPr>
          <w:sz w:val="24"/>
          <w:szCs w:val="24"/>
          <w:highlight w:val="yellow"/>
          <w:lang w:val="en-US"/>
        </w:rPr>
        <w:t>DD MM 2018</w:t>
      </w:r>
      <w:r w:rsidR="00CD34BA" w:rsidRPr="00CD34BA">
        <w:rPr>
          <w:sz w:val="24"/>
          <w:szCs w:val="24"/>
          <w:highlight w:val="yellow"/>
          <w:lang w:val="en-US"/>
        </w:rPr>
        <w:t xml:space="preserve"> to </w:t>
      </w:r>
      <w:r w:rsidR="00CD34BA" w:rsidRPr="004C369C">
        <w:rPr>
          <w:sz w:val="24"/>
          <w:szCs w:val="24"/>
          <w:highlight w:val="yellow"/>
          <w:lang w:val="en-US"/>
        </w:rPr>
        <w:t>DD MM 2019</w:t>
      </w:r>
      <w:r w:rsidR="00CD34BA" w:rsidRPr="00CD34BA">
        <w:rPr>
          <w:sz w:val="24"/>
          <w:szCs w:val="24"/>
          <w:lang w:val="en-US"/>
        </w:rPr>
        <w:t xml:space="preserve">. </w:t>
      </w:r>
    </w:p>
    <w:p w14:paraId="3D7506DE" w14:textId="77777777" w:rsidR="00CD34BA" w:rsidRDefault="00CD34BA" w:rsidP="00CD34BA">
      <w:pPr>
        <w:pStyle w:val="NoSpacing"/>
        <w:rPr>
          <w:sz w:val="24"/>
          <w:szCs w:val="24"/>
          <w:lang w:val="en-US"/>
        </w:rPr>
      </w:pPr>
    </w:p>
    <w:p w14:paraId="11C9DD0E" w14:textId="4FC48BF9" w:rsidR="00CD34BA" w:rsidRDefault="00CD34BA" w:rsidP="00CD34BA">
      <w:pPr>
        <w:pStyle w:val="NoSpacing"/>
        <w:rPr>
          <w:sz w:val="24"/>
          <w:szCs w:val="24"/>
          <w:lang w:val="en-US"/>
        </w:rPr>
      </w:pPr>
      <w:r w:rsidRPr="00CD34BA">
        <w:rPr>
          <w:sz w:val="24"/>
          <w:szCs w:val="24"/>
          <w:lang w:val="en-US"/>
        </w:rPr>
        <w:t xml:space="preserve">We have considered the two tests outlined in the Lobbying Act. </w:t>
      </w:r>
    </w:p>
    <w:p w14:paraId="423AA480" w14:textId="5EC5A28E" w:rsidR="004C369C" w:rsidRDefault="004C369C" w:rsidP="00CD34BA">
      <w:pPr>
        <w:pStyle w:val="NoSpacing"/>
        <w:rPr>
          <w:sz w:val="24"/>
          <w:szCs w:val="24"/>
          <w:lang w:val="en-US"/>
        </w:rPr>
      </w:pPr>
    </w:p>
    <w:p w14:paraId="5EFA1C8B" w14:textId="55BCFB50" w:rsidR="004C369C" w:rsidRDefault="004C369C" w:rsidP="00CD34BA">
      <w:pPr>
        <w:pStyle w:val="NoSpacing"/>
        <w:rPr>
          <w:sz w:val="24"/>
          <w:szCs w:val="24"/>
          <w:lang w:val="en-US"/>
        </w:rPr>
      </w:pPr>
      <w:r>
        <w:rPr>
          <w:sz w:val="24"/>
          <w:szCs w:val="24"/>
          <w:lang w:val="en-US"/>
        </w:rPr>
        <w:t xml:space="preserve">The public test asks whether our campaigning work is for our own supporters (those who have clearly indicated, by membership or by ticking a box to ask us to send them information) or for the general public. If information is accessible online (on our website or on others) then it is deemed to be public. </w:t>
      </w:r>
    </w:p>
    <w:p w14:paraId="0E21D945" w14:textId="4398ED41" w:rsidR="004C369C" w:rsidRDefault="004C369C" w:rsidP="00CD34BA">
      <w:pPr>
        <w:pStyle w:val="NoSpacing"/>
        <w:rPr>
          <w:sz w:val="24"/>
          <w:szCs w:val="24"/>
          <w:lang w:val="en-US"/>
        </w:rPr>
      </w:pPr>
    </w:p>
    <w:p w14:paraId="5CD2B180" w14:textId="72FEC23F" w:rsidR="004C369C" w:rsidRDefault="004C369C" w:rsidP="00CD34BA">
      <w:pPr>
        <w:pStyle w:val="NoSpacing"/>
        <w:rPr>
          <w:sz w:val="24"/>
          <w:szCs w:val="24"/>
          <w:lang w:val="en-US"/>
        </w:rPr>
      </w:pPr>
      <w:r>
        <w:rPr>
          <w:sz w:val="24"/>
          <w:szCs w:val="24"/>
          <w:lang w:val="en-US"/>
        </w:rPr>
        <w:t xml:space="preserve">The </w:t>
      </w:r>
      <w:r w:rsidRPr="004C369C">
        <w:rPr>
          <w:sz w:val="24"/>
          <w:szCs w:val="24"/>
          <w:lang w:val="en-US"/>
        </w:rPr>
        <w:t xml:space="preserve">purposes test </w:t>
      </w:r>
      <w:r>
        <w:rPr>
          <w:sz w:val="24"/>
          <w:szCs w:val="24"/>
          <w:lang w:val="en-US"/>
        </w:rPr>
        <w:t>asks whether</w:t>
      </w:r>
      <w:r w:rsidRPr="004C369C">
        <w:rPr>
          <w:sz w:val="24"/>
          <w:szCs w:val="24"/>
          <w:lang w:val="en-US"/>
        </w:rPr>
        <w:t xml:space="preserve"> a reasonable person </w:t>
      </w:r>
      <w:r>
        <w:rPr>
          <w:sz w:val="24"/>
          <w:szCs w:val="24"/>
          <w:lang w:val="en-US"/>
        </w:rPr>
        <w:t>would believe that the campaign encourages individuals to v</w:t>
      </w:r>
      <w:r w:rsidRPr="004C369C">
        <w:rPr>
          <w:sz w:val="24"/>
          <w:szCs w:val="24"/>
          <w:lang w:val="en-US"/>
        </w:rPr>
        <w:t>ote for a specific candidate</w:t>
      </w:r>
      <w:r>
        <w:rPr>
          <w:sz w:val="24"/>
          <w:szCs w:val="24"/>
          <w:lang w:val="en-US"/>
        </w:rPr>
        <w:t xml:space="preserve"> or to vote against a specific candidate. This applies locally as well as nationally.</w:t>
      </w:r>
    </w:p>
    <w:p w14:paraId="326EE2A0" w14:textId="62F8D1CA" w:rsidR="004C369C" w:rsidRDefault="004C369C" w:rsidP="00CD34BA">
      <w:pPr>
        <w:pStyle w:val="NoSpacing"/>
        <w:rPr>
          <w:sz w:val="24"/>
          <w:szCs w:val="24"/>
          <w:lang w:val="en-US"/>
        </w:rPr>
      </w:pPr>
    </w:p>
    <w:p w14:paraId="07B6815B" w14:textId="4D03AD7B" w:rsidR="00CD34BA" w:rsidRPr="00CD34BA" w:rsidRDefault="004C369C" w:rsidP="004C369C">
      <w:pPr>
        <w:pStyle w:val="NoSpacing"/>
        <w:rPr>
          <w:sz w:val="24"/>
          <w:szCs w:val="24"/>
          <w:lang w:val="en-US"/>
        </w:rPr>
      </w:pPr>
      <w:r>
        <w:rPr>
          <w:sz w:val="24"/>
          <w:szCs w:val="24"/>
          <w:lang w:val="en-US"/>
        </w:rPr>
        <w:t>With regards to the public test, we have judged that a</w:t>
      </w:r>
      <w:r w:rsidR="00CD34BA" w:rsidRPr="00CD34BA">
        <w:rPr>
          <w:sz w:val="24"/>
          <w:szCs w:val="24"/>
          <w:lang w:val="en-US"/>
        </w:rPr>
        <w:t xml:space="preserve"> significant proportion of our work is with committed supporters. We send emails only to those who have confirmed that they support our declaration and wish to be part of our network of supporters. While some social media content is public, our groups require similar confirmation of support. Because we ask individuals to </w:t>
      </w:r>
      <w:r>
        <w:rPr>
          <w:sz w:val="24"/>
          <w:szCs w:val="24"/>
          <w:lang w:val="en-US"/>
        </w:rPr>
        <w:t>support</w:t>
      </w:r>
      <w:r w:rsidR="00CD34BA" w:rsidRPr="00CD34BA">
        <w:rPr>
          <w:sz w:val="24"/>
          <w:szCs w:val="24"/>
          <w:lang w:val="en-US"/>
        </w:rPr>
        <w:t xml:space="preserve"> our </w:t>
      </w:r>
      <w:proofErr w:type="spellStart"/>
      <w:r w:rsidR="00CD34BA" w:rsidRPr="00CD34BA">
        <w:rPr>
          <w:sz w:val="24"/>
          <w:szCs w:val="24"/>
          <w:lang w:val="en-US"/>
        </w:rPr>
        <w:t>organisation</w:t>
      </w:r>
      <w:proofErr w:type="spellEnd"/>
      <w:r w:rsidR="00CD34BA" w:rsidRPr="00CD34BA">
        <w:rPr>
          <w:sz w:val="24"/>
          <w:szCs w:val="24"/>
          <w:lang w:val="en-US"/>
        </w:rPr>
        <w:t xml:space="preserve"> before providing them with leaflets, we judge that </w:t>
      </w:r>
      <w:r w:rsidR="00CD34BA" w:rsidRPr="00CD34BA">
        <w:rPr>
          <w:sz w:val="24"/>
          <w:szCs w:val="24"/>
          <w:highlight w:val="yellow"/>
          <w:lang w:val="en-US"/>
        </w:rPr>
        <w:t>around x% of our printed material costs and x% of something else costs</w:t>
      </w:r>
      <w:r w:rsidRPr="004C369C">
        <w:rPr>
          <w:sz w:val="24"/>
          <w:szCs w:val="24"/>
          <w:highlight w:val="yellow"/>
          <w:lang w:val="en-US"/>
        </w:rPr>
        <w:t xml:space="preserve"> [FOR EXAMPLE]</w:t>
      </w:r>
      <w:r w:rsidR="00CD34BA" w:rsidRPr="00CD34BA">
        <w:rPr>
          <w:sz w:val="24"/>
          <w:szCs w:val="24"/>
          <w:lang w:val="en-US"/>
        </w:rPr>
        <w:t xml:space="preserve"> could be considered to fall under the remit of the Lobbying Act. </w:t>
      </w:r>
    </w:p>
    <w:p w14:paraId="7F8D291E" w14:textId="77777777" w:rsidR="00CD34BA" w:rsidRPr="00CD34BA" w:rsidRDefault="00CD34BA" w:rsidP="00CD34BA">
      <w:pPr>
        <w:pStyle w:val="NoSpacing"/>
        <w:rPr>
          <w:sz w:val="24"/>
          <w:szCs w:val="24"/>
          <w:lang w:val="en-US"/>
        </w:rPr>
      </w:pPr>
    </w:p>
    <w:p w14:paraId="656F526A" w14:textId="394AE01A" w:rsidR="00CD34BA" w:rsidRDefault="00CD34BA" w:rsidP="00CD34BA">
      <w:pPr>
        <w:pStyle w:val="NoSpacing"/>
        <w:rPr>
          <w:sz w:val="24"/>
          <w:szCs w:val="24"/>
          <w:lang w:val="en-US"/>
        </w:rPr>
      </w:pPr>
      <w:r w:rsidRPr="00CD34BA">
        <w:rPr>
          <w:sz w:val="24"/>
          <w:szCs w:val="24"/>
          <w:lang w:val="en-US"/>
        </w:rPr>
        <w:t xml:space="preserve">We have also considered whether our campaign passes the purposes test, and specifically whether a reasonable person would assume that we were calling for the general public to vote a specific way due to a specific policy. While we share some broad policies and aims with some political parties, there is considerable disagreement about the </w:t>
      </w:r>
      <w:r w:rsidR="00241477">
        <w:rPr>
          <w:sz w:val="24"/>
          <w:szCs w:val="24"/>
          <w:lang w:val="en-US"/>
        </w:rPr>
        <w:t>methods or actions</w:t>
      </w:r>
      <w:r w:rsidRPr="00CD34BA">
        <w:rPr>
          <w:sz w:val="24"/>
          <w:szCs w:val="24"/>
          <w:lang w:val="en-US"/>
        </w:rPr>
        <w:t xml:space="preserve"> needed to achieve these</w:t>
      </w:r>
      <w:r w:rsidR="00241477">
        <w:rPr>
          <w:sz w:val="24"/>
          <w:szCs w:val="24"/>
          <w:lang w:val="en-US"/>
        </w:rPr>
        <w:t xml:space="preserve"> policies</w:t>
      </w:r>
      <w:r w:rsidRPr="00CD34BA">
        <w:rPr>
          <w:sz w:val="24"/>
          <w:szCs w:val="24"/>
          <w:lang w:val="en-US"/>
        </w:rPr>
        <w:t xml:space="preserve">. Furthermore, our campaigns clearly ask for elected representatives to change their minds, not for members of the public to change their elected representatives. </w:t>
      </w:r>
    </w:p>
    <w:p w14:paraId="0884153F" w14:textId="4E2FD685" w:rsidR="00241477" w:rsidRDefault="00241477" w:rsidP="00CD34BA">
      <w:pPr>
        <w:pStyle w:val="NoSpacing"/>
        <w:rPr>
          <w:sz w:val="24"/>
          <w:szCs w:val="24"/>
          <w:lang w:val="en-US"/>
        </w:rPr>
      </w:pPr>
    </w:p>
    <w:p w14:paraId="1C4594D8" w14:textId="483CFB5B" w:rsidR="00241477" w:rsidRPr="00CD34BA" w:rsidRDefault="00241477" w:rsidP="00CD34BA">
      <w:pPr>
        <w:pStyle w:val="NoSpacing"/>
        <w:rPr>
          <w:sz w:val="24"/>
          <w:szCs w:val="24"/>
          <w:lang w:val="en-US"/>
        </w:rPr>
      </w:pPr>
      <w:r>
        <w:rPr>
          <w:sz w:val="24"/>
          <w:szCs w:val="24"/>
          <w:lang w:val="en-US"/>
        </w:rPr>
        <w:lastRenderedPageBreak/>
        <w:t>Overall, we judge that the tone of our campaigns, and the context in which they have been delivered, makes it clear that our campaign is not intended to influence the general public at the ballot box. We consider that a reasonable person would easily be able to understand that our campaign is part of a wider civic engagement.</w:t>
      </w:r>
    </w:p>
    <w:p w14:paraId="7AB9A9B6" w14:textId="77777777" w:rsidR="00CD34BA" w:rsidRPr="00CD34BA" w:rsidRDefault="00CD34BA" w:rsidP="00CD34BA">
      <w:pPr>
        <w:pStyle w:val="NoSpacing"/>
        <w:rPr>
          <w:sz w:val="24"/>
          <w:szCs w:val="24"/>
          <w:lang w:val="en-US"/>
        </w:rPr>
      </w:pPr>
    </w:p>
    <w:p w14:paraId="34BD9701" w14:textId="4F0548D3" w:rsidR="00CD34BA" w:rsidRDefault="00CD34BA" w:rsidP="00CD34BA">
      <w:pPr>
        <w:pStyle w:val="NoSpacing"/>
        <w:rPr>
          <w:sz w:val="24"/>
          <w:szCs w:val="24"/>
          <w:lang w:val="en-US"/>
        </w:rPr>
      </w:pPr>
      <w:r w:rsidRPr="00CD34BA">
        <w:rPr>
          <w:sz w:val="24"/>
          <w:szCs w:val="24"/>
          <w:lang w:val="en-US"/>
        </w:rPr>
        <w:t xml:space="preserve">Having considered activities we have undertaken during this regulated period, including rallies, printed material, overheads and staff time, we consider that only a very small part of these activities </w:t>
      </w:r>
      <w:r w:rsidR="004C369C">
        <w:rPr>
          <w:sz w:val="24"/>
          <w:szCs w:val="24"/>
          <w:lang w:val="en-US"/>
        </w:rPr>
        <w:t xml:space="preserve">passes both tests and so </w:t>
      </w:r>
      <w:r w:rsidRPr="00CD34BA">
        <w:rPr>
          <w:sz w:val="24"/>
          <w:szCs w:val="24"/>
          <w:lang w:val="en-US"/>
        </w:rPr>
        <w:t xml:space="preserve">falls under the remit of the Lobbying Act. The combined cost of these activities is well below the registration threshold of £20,000 in England, £10,000 each in Northern Ireland, Scotland and Wales. </w:t>
      </w:r>
    </w:p>
    <w:p w14:paraId="64752A78" w14:textId="77777777" w:rsidR="00CD34BA" w:rsidRDefault="00CD34BA" w:rsidP="00CD34BA">
      <w:pPr>
        <w:pStyle w:val="NoSpacing"/>
        <w:rPr>
          <w:sz w:val="24"/>
          <w:szCs w:val="24"/>
          <w:lang w:val="en-US"/>
        </w:rPr>
      </w:pPr>
    </w:p>
    <w:p w14:paraId="3FB098F6" w14:textId="6856C94B" w:rsidR="00CD34BA" w:rsidRPr="00CD34BA" w:rsidRDefault="00CD34BA" w:rsidP="00CD34BA">
      <w:pPr>
        <w:pStyle w:val="NoSpacing"/>
        <w:rPr>
          <w:sz w:val="24"/>
          <w:szCs w:val="24"/>
          <w:lang w:val="en-US"/>
        </w:rPr>
      </w:pPr>
      <w:r w:rsidRPr="00CD34BA">
        <w:rPr>
          <w:sz w:val="24"/>
          <w:szCs w:val="24"/>
          <w:lang w:val="en-US"/>
        </w:rPr>
        <w:t>We have therefore not registered with the Electoral Commission as a non-party campaigner.</w:t>
      </w:r>
    </w:p>
    <w:p w14:paraId="5B983E6E" w14:textId="4055DA1E" w:rsidR="00CD34BA" w:rsidRPr="00414564" w:rsidRDefault="00CD34BA" w:rsidP="00414564">
      <w:pPr>
        <w:pStyle w:val="NoSpacing"/>
        <w:rPr>
          <w:sz w:val="24"/>
          <w:szCs w:val="24"/>
        </w:rPr>
      </w:pPr>
    </w:p>
    <w:sectPr w:rsidR="00CD34BA" w:rsidRPr="00414564">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290BD3" w14:textId="77777777" w:rsidR="00CA17DF" w:rsidRDefault="00CA17DF" w:rsidP="00E91F29">
      <w:r>
        <w:separator/>
      </w:r>
    </w:p>
  </w:endnote>
  <w:endnote w:type="continuationSeparator" w:id="0">
    <w:p w14:paraId="1F4DF288" w14:textId="77777777" w:rsidR="00CA17DF" w:rsidRDefault="00CA17DF" w:rsidP="00E91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b/>
        <w:bCs/>
        <w:color w:val="A6A6A6" w:themeColor="background1" w:themeShade="A6"/>
        <w:sz w:val="18"/>
        <w:szCs w:val="18"/>
      </w:rPr>
      <w:id w:val="-1204473727"/>
      <w:docPartObj>
        <w:docPartGallery w:val="Page Numbers (Bottom of Page)"/>
        <w:docPartUnique/>
      </w:docPartObj>
    </w:sdtPr>
    <w:sdtEndPr>
      <w:rPr>
        <w:noProof/>
      </w:rPr>
    </w:sdtEndPr>
    <w:sdtContent>
      <w:p w14:paraId="5CA64CEB" w14:textId="55FE2AF4" w:rsidR="00E91F29" w:rsidRPr="00E91F29" w:rsidRDefault="00E91F29">
        <w:pPr>
          <w:pStyle w:val="Footer"/>
          <w:jc w:val="center"/>
          <w:rPr>
            <w:b/>
            <w:bCs/>
            <w:color w:val="A6A6A6" w:themeColor="background1" w:themeShade="A6"/>
            <w:sz w:val="18"/>
            <w:szCs w:val="18"/>
          </w:rPr>
        </w:pPr>
        <w:r w:rsidRPr="00E91F29">
          <w:rPr>
            <w:b/>
            <w:bCs/>
            <w:color w:val="A6A6A6" w:themeColor="background1" w:themeShade="A6"/>
            <w:sz w:val="18"/>
            <w:szCs w:val="18"/>
          </w:rPr>
          <w:fldChar w:fldCharType="begin"/>
        </w:r>
        <w:r w:rsidRPr="00E91F29">
          <w:rPr>
            <w:b/>
            <w:bCs/>
            <w:color w:val="A6A6A6" w:themeColor="background1" w:themeShade="A6"/>
            <w:sz w:val="18"/>
            <w:szCs w:val="18"/>
          </w:rPr>
          <w:instrText xml:space="preserve"> PAGE   \* MERGEFORMAT </w:instrText>
        </w:r>
        <w:r w:rsidRPr="00E91F29">
          <w:rPr>
            <w:b/>
            <w:bCs/>
            <w:color w:val="A6A6A6" w:themeColor="background1" w:themeShade="A6"/>
            <w:sz w:val="18"/>
            <w:szCs w:val="18"/>
          </w:rPr>
          <w:fldChar w:fldCharType="separate"/>
        </w:r>
        <w:r w:rsidRPr="00E91F29">
          <w:rPr>
            <w:b/>
            <w:bCs/>
            <w:noProof/>
            <w:color w:val="A6A6A6" w:themeColor="background1" w:themeShade="A6"/>
            <w:sz w:val="18"/>
            <w:szCs w:val="18"/>
          </w:rPr>
          <w:t>2</w:t>
        </w:r>
        <w:r w:rsidRPr="00E91F29">
          <w:rPr>
            <w:b/>
            <w:bCs/>
            <w:noProof/>
            <w:color w:val="A6A6A6" w:themeColor="background1" w:themeShade="A6"/>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BFB737" w14:textId="77777777" w:rsidR="00CA17DF" w:rsidRDefault="00CA17DF" w:rsidP="00E91F29">
      <w:r>
        <w:separator/>
      </w:r>
    </w:p>
  </w:footnote>
  <w:footnote w:type="continuationSeparator" w:id="0">
    <w:p w14:paraId="0C6D7F96" w14:textId="77777777" w:rsidR="00CA17DF" w:rsidRDefault="00CA17DF" w:rsidP="00E91F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263303" w14:textId="2DED2F8D" w:rsidR="00E91F29" w:rsidRPr="00E91F29" w:rsidRDefault="00E91F29" w:rsidP="00E91F29">
    <w:pPr>
      <w:pStyle w:val="Header"/>
      <w:tabs>
        <w:tab w:val="clear" w:pos="9026"/>
        <w:tab w:val="right" w:pos="9498"/>
      </w:tabs>
      <w:ind w:left="-426" w:right="-613"/>
      <w:rPr>
        <w:color w:val="A6A6A6" w:themeColor="background1" w:themeShade="A6"/>
        <w:sz w:val="18"/>
        <w:szCs w:val="18"/>
      </w:rPr>
    </w:pPr>
    <w:r w:rsidRPr="00E91F29">
      <w:rPr>
        <w:color w:val="A6A6A6" w:themeColor="background1" w:themeShade="A6"/>
        <w:sz w:val="18"/>
        <w:szCs w:val="18"/>
      </w:rPr>
      <w:t>2019 Guide to the Lobbying Act</w:t>
    </w:r>
    <w:r w:rsidRPr="00E91F29">
      <w:rPr>
        <w:color w:val="A6A6A6" w:themeColor="background1" w:themeShade="A6"/>
        <w:sz w:val="18"/>
        <w:szCs w:val="18"/>
      </w:rPr>
      <w:tab/>
    </w:r>
    <w:r w:rsidRPr="00E91F29">
      <w:rPr>
        <w:color w:val="A6A6A6" w:themeColor="background1" w:themeShade="A6"/>
        <w:sz w:val="18"/>
        <w:szCs w:val="18"/>
      </w:rPr>
      <w:tab/>
      <w:t>Jessica Metheringham, www.howtodissent.org</w:t>
    </w:r>
  </w:p>
  <w:p w14:paraId="053D695C" w14:textId="77777777" w:rsidR="00E91F29" w:rsidRPr="00E91F29" w:rsidRDefault="00E91F29">
    <w:pPr>
      <w:pStyle w:val="Header"/>
      <w:rPr>
        <w:b/>
        <w:bCs/>
        <w:color w:val="A6A6A6" w:themeColor="background1" w:themeShade="A6"/>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23F9A"/>
    <w:multiLevelType w:val="hybridMultilevel"/>
    <w:tmpl w:val="1B54D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5092F52"/>
    <w:multiLevelType w:val="hybridMultilevel"/>
    <w:tmpl w:val="1B54D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DCD76AA"/>
    <w:multiLevelType w:val="hybridMultilevel"/>
    <w:tmpl w:val="65142F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F5826FB"/>
    <w:multiLevelType w:val="hybridMultilevel"/>
    <w:tmpl w:val="1B54D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6B5740D"/>
    <w:multiLevelType w:val="hybridMultilevel"/>
    <w:tmpl w:val="C472D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564"/>
    <w:rsid w:val="00023D1D"/>
    <w:rsid w:val="00072E02"/>
    <w:rsid w:val="000D2BAC"/>
    <w:rsid w:val="00194B81"/>
    <w:rsid w:val="001B70E9"/>
    <w:rsid w:val="00241477"/>
    <w:rsid w:val="00390A84"/>
    <w:rsid w:val="003E1BE4"/>
    <w:rsid w:val="00414564"/>
    <w:rsid w:val="00485EA3"/>
    <w:rsid w:val="004A142A"/>
    <w:rsid w:val="004C369C"/>
    <w:rsid w:val="004E7D2D"/>
    <w:rsid w:val="004F4E45"/>
    <w:rsid w:val="00500137"/>
    <w:rsid w:val="006B2F1B"/>
    <w:rsid w:val="006F0D15"/>
    <w:rsid w:val="007737EC"/>
    <w:rsid w:val="00774C71"/>
    <w:rsid w:val="0080611B"/>
    <w:rsid w:val="008F07FF"/>
    <w:rsid w:val="00914C6F"/>
    <w:rsid w:val="009800F8"/>
    <w:rsid w:val="009818DE"/>
    <w:rsid w:val="009C1CCA"/>
    <w:rsid w:val="00A3218B"/>
    <w:rsid w:val="00A667FD"/>
    <w:rsid w:val="00A80CD6"/>
    <w:rsid w:val="00BA1260"/>
    <w:rsid w:val="00C30F8C"/>
    <w:rsid w:val="00C46DBC"/>
    <w:rsid w:val="00C56818"/>
    <w:rsid w:val="00C84BDC"/>
    <w:rsid w:val="00CA17DF"/>
    <w:rsid w:val="00CD34BA"/>
    <w:rsid w:val="00D11596"/>
    <w:rsid w:val="00D537CB"/>
    <w:rsid w:val="00D73934"/>
    <w:rsid w:val="00D7568D"/>
    <w:rsid w:val="00D85C53"/>
    <w:rsid w:val="00DB273C"/>
    <w:rsid w:val="00E4097F"/>
    <w:rsid w:val="00E91F29"/>
    <w:rsid w:val="00EC6D72"/>
    <w:rsid w:val="00EE68C8"/>
    <w:rsid w:val="00F05051"/>
    <w:rsid w:val="00F30BF2"/>
    <w:rsid w:val="00FD7A9B"/>
    <w:rsid w:val="00FE4E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9D71D8"/>
  <w15:chartTrackingRefBased/>
  <w15:docId w15:val="{BDDAD0DC-9A30-46C7-AB8A-8B5D424C2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2"/>
        <w:szCs w:val="22"/>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A9B"/>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4564"/>
  </w:style>
  <w:style w:type="character" w:customStyle="1" w:styleId="Heading1Char">
    <w:name w:val="Heading 1 Char"/>
    <w:basedOn w:val="DefaultParagraphFont"/>
    <w:link w:val="Heading1"/>
    <w:uiPriority w:val="9"/>
    <w:rsid w:val="00FD7A9B"/>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8061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7568D"/>
    <w:rPr>
      <w:color w:val="0563C1" w:themeColor="hyperlink"/>
      <w:u w:val="single"/>
    </w:rPr>
  </w:style>
  <w:style w:type="character" w:styleId="UnresolvedMention">
    <w:name w:val="Unresolved Mention"/>
    <w:basedOn w:val="DefaultParagraphFont"/>
    <w:uiPriority w:val="99"/>
    <w:semiHidden/>
    <w:unhideWhenUsed/>
    <w:rsid w:val="00D7568D"/>
    <w:rPr>
      <w:color w:val="605E5C"/>
      <w:shd w:val="clear" w:color="auto" w:fill="E1DFDD"/>
    </w:rPr>
  </w:style>
  <w:style w:type="paragraph" w:styleId="Header">
    <w:name w:val="header"/>
    <w:basedOn w:val="Normal"/>
    <w:link w:val="HeaderChar"/>
    <w:uiPriority w:val="99"/>
    <w:unhideWhenUsed/>
    <w:rsid w:val="00E91F29"/>
    <w:pPr>
      <w:tabs>
        <w:tab w:val="center" w:pos="4513"/>
        <w:tab w:val="right" w:pos="9026"/>
      </w:tabs>
    </w:pPr>
  </w:style>
  <w:style w:type="character" w:customStyle="1" w:styleId="HeaderChar">
    <w:name w:val="Header Char"/>
    <w:basedOn w:val="DefaultParagraphFont"/>
    <w:link w:val="Header"/>
    <w:uiPriority w:val="99"/>
    <w:rsid w:val="00E91F29"/>
  </w:style>
  <w:style w:type="paragraph" w:styleId="Footer">
    <w:name w:val="footer"/>
    <w:basedOn w:val="Normal"/>
    <w:link w:val="FooterChar"/>
    <w:uiPriority w:val="99"/>
    <w:unhideWhenUsed/>
    <w:rsid w:val="00E91F29"/>
    <w:pPr>
      <w:tabs>
        <w:tab w:val="center" w:pos="4513"/>
        <w:tab w:val="right" w:pos="9026"/>
      </w:tabs>
    </w:pPr>
  </w:style>
  <w:style w:type="character" w:customStyle="1" w:styleId="FooterChar">
    <w:name w:val="Footer Char"/>
    <w:basedOn w:val="DefaultParagraphFont"/>
    <w:link w:val="Footer"/>
    <w:uiPriority w:val="99"/>
    <w:rsid w:val="00E91F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6376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65BA08-0033-4744-9AE3-1AF4715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518</Words>
  <Characters>2958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Robertson</dc:creator>
  <cp:keywords/>
  <dc:description/>
  <cp:lastModifiedBy>Oliver Robertson</cp:lastModifiedBy>
  <cp:revision>4</cp:revision>
  <cp:lastPrinted>2019-09-23T12:28:00Z</cp:lastPrinted>
  <dcterms:created xsi:type="dcterms:W3CDTF">2019-09-23T12:32:00Z</dcterms:created>
  <dcterms:modified xsi:type="dcterms:W3CDTF">2019-09-23T12:35:00Z</dcterms:modified>
</cp:coreProperties>
</file>